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ff1b93b17425b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29156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DJEČJI VRTIĆ BUBAMARA GLINA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428.612,58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489.567,89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418.665,07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480.979,01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9.947,51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8.588,88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86,3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2.328,82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5.602,50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240,6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2.328,82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5.602,50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240,6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7.618,69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2.986,38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39,2</w:t>
            </w:r>
          </w:p>
        </w:tc>
      </w:tr>
    </w:tbl>
    <w:p>
      <w:pPr>
        <w:spacing w:before="0" w:after="0"/>
      </w:pPr>
    </w:p>
    <w:p>
      <w:r>
        <w:t xml:space="preserve">U razdoblju od 1. siječnja do 30. lipnja 2026. prihodi poslovanja ostvareni su u iznosu od 489.567,89 eura.  Povećanje od 114,20 % u odnosu na isto izvještajno razdoblje prethodne godine odnosi se na povećanje plaća i ostalih materijalnih prava zaposlenika sukladno odredbama Kolektivnom ugovoru za zaposlene u predškolskim ustanovama kojim je utvrđeno povećanje osnovice za obračun plaće s primjenom od 1. siječnja 2025.</w:t>
      </w:r>
    </w:p>
    <w:p>
      <w:r>
        <w:t xml:space="preserve">Ukupni rashodi poslovanja u razdoblju od iznose od 1. siječnja do 30. lipnja 2026. iznose 480.979,01 eura. Povećanje od 114,90 % u odnosu na isto izvještajno razdoblje prethodne godine odnosi se na povećanje plaća i ostalih materijalnih prava zaposlenika sukladno odredbama Kolektivnom ugovoru za zaposlene u predškolskim ustanovama kojim je utvrđeno povećanje osnovice za obračun plaće s primjenom od 1. siječnja 2025. U navedenom razdoblju nema ostvarenih prihoda od prodaje nefinancijske imovine, dok su rashodi za nabavu nefinancijske imovine ostvareni u iznosu od 5.602,50 eura. Navedeni rashodi odnose se na zamjenu bivalentnog spremnika odnosno dobava i ugradnja bojlera- akumulacijskog bivalentnog spremnika za zagrijavanje sanitarne potrošne vode potrebno za kvalitetna i siguran rad prvenstveno kuhinje i ostalih prostorija vrtiće te nabavu i montažu klime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428.612,58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489.567,89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114,2</w:t>
            </w:r>
          </w:p>
        </w:tc>
      </w:tr>
    </w:tbl>
    <w:p>
      <w:pPr>
        <w:spacing w:before="0" w:after="0"/>
      </w:pPr>
    </w:p>
    <w:p>
      <w:r>
        <w:t xml:space="preserve">Povećanje u odnosu na isto izvještajno razdoblje prethodne godine odnosi se na povećanje plaća i ostalih materijalnih prava zaposlenika sukladno odredbama Kolektivnom ugovoru za zaposlene u predškolskim ustanovama kojim je utvrđeno povećanje osnovice i koeficijenata za obračun plaće s primjenom od 1. siječnja 2025.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i od HZZO-a na temelju ugovornih obveza (šifre 671+673)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362.290,48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422.834,35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116,7</w:t>
            </w:r>
          </w:p>
        </w:tc>
      </w:tr>
    </w:tbl>
    <w:p>
      <w:pPr>
        <w:spacing w:before="0" w:after="0"/>
      </w:pPr>
    </w:p>
    <w:p>
      <w:r>
        <w:t xml:space="preserve">Prihodi poslovanja iz nadležnog proračuna  odnose se na financiranje plaća i ostalih materijalnih prava zaposlenika, te materijalnih rashoda. Razlog odstupanja u odnosu na isto izvještajno razdoblje prethodne godine je povećanje plaća i ostalih materijalnih prava zaposlenika.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418.665,07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480.979,01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114,9</w:t>
            </w:r>
          </w:p>
        </w:tc>
      </w:tr>
    </w:tbl>
    <w:p>
      <w:pPr>
        <w:spacing w:before="0" w:after="0"/>
      </w:pPr>
    </w:p>
    <w:p>
      <w:r>
        <w:t xml:space="preserve">Povećanje u odnosu na isto izvještajno razdoblje prethodne godine odnosi se na povećanje plaća i ostalih materijalnih prava zaposlenika sukladno odredbama Kolektivnom ugovoru za zaposlene u predškolskim ustanovama kojim je utvrđeno povećanje osnovice i  koeficijenata za obračun  plaće s primjenom od 1. siječnja 2025..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Energija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7.592,84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17.874,89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235,4</w:t>
            </w:r>
          </w:p>
        </w:tc>
      </w:tr>
    </w:tbl>
    <w:p>
      <w:pPr>
        <w:spacing w:before="0" w:after="0"/>
      </w:pPr>
    </w:p>
    <w:p>
      <w:r>
        <w:t xml:space="preserve">Zbog povećanja tarifnih stavki za prijenos i distribuciju električne energije dovelo je do povećanja cijene električne energije za Dječji vrtić Bubamara Glina. Zbog nadogradnje novog dijela vrtića povećala se potrošnje električne energije u odnosu na prethodno razdoblje.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2.241,17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6.877,00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306,8</w:t>
            </w:r>
          </w:p>
        </w:tc>
      </w:tr>
    </w:tbl>
    <w:p>
      <w:pPr>
        <w:spacing w:before="0" w:after="0"/>
      </w:pPr>
    </w:p>
    <w:p>
      <w:r>
        <w:t xml:space="preserve">Povećanje u odnosu na isto izvještajno razdoblje prethodne godine odnosi se na  niz elektroinstalaterskih radova (montaža i ugradnja komandnog ormarića , kontrola sagorijevanja plinskog plamenika, defektaža, popravak i odzračivanje elektronskog magnetskog ventila te zamjenu bivalentnog spremnika, servis klima, dimnjačarske usluge, servis plinodojave) potrebnih za sigurnost, energetsku učinkovitost te kvalitetan i siguran rad vrtića. 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1.538,53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1.659,91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107,9</w:t>
            </w:r>
          </w:p>
        </w:tc>
      </w:tr>
    </w:tbl>
    <w:p>
      <w:pPr>
        <w:spacing w:before="0" w:after="0"/>
      </w:pPr>
    </w:p>
    <w:p>
      <w:r>
        <w:t xml:space="preserve">Zbog povećavanja stavki cijena komunalnih usluga dovelo je do povećanja cijene usluga za Dječji vrtić Bubamara Glina.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Zdravstvene i veterinarske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370,69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440,03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118,7</w:t>
            </w:r>
          </w:p>
        </w:tc>
      </w:tr>
    </w:tbl>
    <w:p>
      <w:pPr>
        <w:spacing w:before="0" w:after="0"/>
      </w:pPr>
    </w:p>
    <w:p>
      <w:r>
        <w:t xml:space="preserve">Povećanje u odnosu na isto izvještajno razdoblje prethodne godine odnosi se na  klinički pregled za sanitarne iskaznice te mikrobiološka analiza hrane.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4.938,43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6.977,71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141,3</w:t>
            </w:r>
          </w:p>
        </w:tc>
      </w:tr>
    </w:tbl>
    <w:p>
      <w:pPr>
        <w:spacing w:before="0" w:after="0"/>
      </w:pPr>
    </w:p>
    <w:p>
      <w:r>
        <w:t xml:space="preserve">Povećanje u odnosu na isto izvještajno razdoblje prethodne godine odnosi se na ugovor o djelu – pedagoga kao stručnog suradnika koji predlaže, sudjeluje i pomaže odgojiteljima u ostvarivanju programa stručnog usavršavanja i njihova cjeloživotnog obrazovanja te financiranje dodatnih programa vrtića koji uključuje engleski jezik i program male škole.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rad predstavničkih i izvršnih tijela, povjerenstava i slično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1.010,77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1.149,50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113,7</w:t>
            </w:r>
          </w:p>
        </w:tc>
      </w:tr>
    </w:tbl>
    <w:p>
      <w:pPr>
        <w:spacing w:before="0" w:after="0"/>
      </w:pPr>
    </w:p>
    <w:p>
      <w:r>
        <w:t xml:space="preserve">Veći trošak u odnosu na isto izvještajno razdoblje prethodne godine zbog većeg broja održanih sjednica UV.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Premije osiguranja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1.446,27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3.221,64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222,8</w:t>
            </w:r>
          </w:p>
        </w:tc>
      </w:tr>
    </w:tbl>
    <w:p>
      <w:pPr>
        <w:spacing w:before="0" w:after="0"/>
      </w:pPr>
    </w:p>
    <w:p>
      <w:r>
        <w:t xml:space="preserve">Povećanje u odnosu na isto izvještajno razdoblje prethodne godine odnosi se na osiguranje od odgovornosti i osiguranje zaposlenih koja su redovna osiguranja vrtića, te nove ugovorene polica osiguranja za zaštitu od požara.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2.328,82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5.602,50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240,6</w:t>
            </w:r>
          </w:p>
        </w:tc>
      </w:tr>
    </w:tbl>
    <w:p>
      <w:pPr>
        <w:spacing w:before="0" w:after="0"/>
      </w:pPr>
    </w:p>
    <w:p>
      <w:r>
        <w:t xml:space="preserve">Povećanje u odnosu na isto izvještajno razdoblje prethodne godine odnosi se na zamjenu bivalentnog spremnika odnosno dobava i ugradnja bojlera- akumulacijskog bivalentnog spremnika za zagrijavanje sanitarne potrošne vode potrebno za kvalitetna i siguran rad prvenstveno kuhinje i ostalih prostorija vrtića te nabava novog klimatizacijskog uređaja-klima.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Nastale obaveza su dospjele na naplatu u roku dospijeća.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Međusobne obveze subjekata općeg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4.042,83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Odnosi se na obavezu za povrat u gradski proračun - isplaćene naknade za bolovanje na teret HZZO.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795,00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Odnosi se na obavezu za nabavu nefinancijske imovine – nabava klime. 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272018650a0451c" /></Relationships>
</file>